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8DD38" w14:textId="77777777" w:rsidR="00C05CAD" w:rsidRDefault="00C05CAD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23A21" w14:textId="77777777" w:rsidR="00C05CAD" w:rsidRPr="00C05CAD" w:rsidRDefault="00C05CAD" w:rsidP="00C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05C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АДМИНИСТРАЦИЯ</w:t>
      </w:r>
    </w:p>
    <w:p w14:paraId="59ECAFBF" w14:textId="77777777" w:rsidR="00C05CAD" w:rsidRPr="00C05CAD" w:rsidRDefault="00C05CAD" w:rsidP="00C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05C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РАЙОНА БОРСКИЙ</w:t>
      </w:r>
    </w:p>
    <w:p w14:paraId="681F0F39" w14:textId="77777777" w:rsidR="00C05CAD" w:rsidRPr="00C05CAD" w:rsidRDefault="00C05CAD" w:rsidP="00C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05C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14:paraId="0A97D993" w14:textId="77777777" w:rsidR="00C05CAD" w:rsidRPr="00C05CAD" w:rsidRDefault="00C05CAD" w:rsidP="00C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828409" w14:textId="77777777" w:rsidR="00C05CAD" w:rsidRPr="00C05CAD" w:rsidRDefault="00C05CAD" w:rsidP="00C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05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701050D7" w14:textId="77777777" w:rsidR="00C05CAD" w:rsidRPr="00C05CAD" w:rsidRDefault="00C05CAD" w:rsidP="00C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CFA46CF" w14:textId="77777777" w:rsidR="00C05CAD" w:rsidRPr="00C05CAD" w:rsidRDefault="00C05CAD" w:rsidP="00C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5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                    №</w:t>
      </w:r>
    </w:p>
    <w:p w14:paraId="687B5308" w14:textId="77777777" w:rsidR="00C05CAD" w:rsidRPr="00C05CAD" w:rsidRDefault="00C05CAD" w:rsidP="00C05C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2D3FF5" w14:textId="1F9E68E2" w:rsidR="00C05CAD" w:rsidRPr="00C05CAD" w:rsidRDefault="00C05CAD" w:rsidP="00C05C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47093E" w:rsidRPr="0047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профилактики рисков  причинения вреда (ущерба) охраняемым законом ценностям при осуществлении регионального государственного экологического контроля (надзора) на объектах хозяйственной и иной деятельности независимо от форм собственности, осуществляющих свою деятельность на территории муниципального района Борский Самарской области</w:t>
      </w:r>
      <w:r w:rsidR="0047093E" w:rsidRPr="0047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093E" w:rsidRPr="0047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 w:rsidR="0047093E" w:rsidRPr="0047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08FB82FB" w14:textId="77777777" w:rsidR="00C05CAD" w:rsidRPr="00C05CAD" w:rsidRDefault="00C05CAD" w:rsidP="00C05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C9D05" w14:textId="77777777" w:rsidR="00C05CAD" w:rsidRPr="00C05CAD" w:rsidRDefault="00C05CAD" w:rsidP="00C05C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31808762" w14:textId="506FE8B2" w:rsidR="00C05CAD" w:rsidRPr="00C05CAD" w:rsidRDefault="00C05CAD" w:rsidP="00C05C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C05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профилактики рисков  причинения вреда (ущерба) охраняемым законом ценностям при осуществлении регионального государственного экологического контроля (надзора) на</w:t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собственности, осуществляющих свою деятельность на территории муниципального района Борский Самарской области</w:t>
      </w:r>
      <w:r w:rsidRPr="00C05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5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 w:rsidRPr="00C05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2AD687C8" w14:textId="77777777" w:rsidR="00C05CAD" w:rsidRPr="00C05CAD" w:rsidRDefault="00C05CAD" w:rsidP="00C05C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района Борский Самарской области в информационно-телекоммуникационной сети Интернет.</w:t>
      </w:r>
    </w:p>
    <w:p w14:paraId="0323BA95" w14:textId="77777777" w:rsidR="00C05CAD" w:rsidRPr="00C05CAD" w:rsidRDefault="00C05CAD" w:rsidP="00C05C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99F14" w14:textId="77777777" w:rsidR="00C05CAD" w:rsidRPr="00C05CAD" w:rsidRDefault="00C05CAD" w:rsidP="00C05CA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Глава муниципального </w:t>
      </w:r>
    </w:p>
    <w:p w14:paraId="4818778B" w14:textId="3AA20EA9" w:rsidR="00C05CAD" w:rsidRPr="00C05CAD" w:rsidRDefault="00C05CAD" w:rsidP="00C05CA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района Борский</w:t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Э.В. Ардабьев</w:t>
      </w:r>
    </w:p>
    <w:p w14:paraId="6DAEDF95" w14:textId="77777777" w:rsidR="00C05CAD" w:rsidRDefault="00C05CAD" w:rsidP="00C05CA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3CA9F" w14:textId="77777777" w:rsidR="00C05CAD" w:rsidRDefault="00C05CAD" w:rsidP="00C05CA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0F885" w14:textId="1994A9A4" w:rsidR="00C05CAD" w:rsidRPr="006B75C6" w:rsidRDefault="006B75C6" w:rsidP="00C05CA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</w:t>
      </w:r>
      <w:r w:rsidR="007458F0" w:rsidRPr="006B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B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8F0" w:rsidRPr="006B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21989</w:t>
      </w:r>
    </w:p>
    <w:p w14:paraId="4E0C986C" w14:textId="38C5DBF9" w:rsidR="00C05CAD" w:rsidRPr="006B75C6" w:rsidRDefault="00C05CAD" w:rsidP="00C05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Кореницына</w:t>
      </w:r>
      <w:r w:rsidR="006B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21392</w:t>
      </w:r>
    </w:p>
    <w:p w14:paraId="21DB9160" w14:textId="77777777" w:rsidR="00C05CAD" w:rsidRDefault="00C05CAD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B0074" w14:textId="77777777" w:rsidR="00C05CAD" w:rsidRDefault="00C05CAD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F1DDA" w14:textId="77777777" w:rsidR="005C0581" w:rsidRDefault="005C0581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C0581" w14:paraId="407F898D" w14:textId="77777777" w:rsidTr="005C058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7B5FC0E" w14:textId="77777777" w:rsidR="005C0581" w:rsidRDefault="005C0581" w:rsidP="009F335D">
            <w:pPr>
              <w:tabs>
                <w:tab w:val="left" w:pos="6090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07F674" w14:textId="77777777" w:rsidR="005C0581" w:rsidRDefault="005C0581" w:rsidP="009F335D">
            <w:pPr>
              <w:tabs>
                <w:tab w:val="left" w:pos="6090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4AD1BD47" w14:textId="55AE4E6B" w:rsidR="005C0581" w:rsidRDefault="005C0581" w:rsidP="009F335D">
            <w:pPr>
              <w:tabs>
                <w:tab w:val="left" w:pos="6090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37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14:paraId="5B936466" w14:textId="291679C9" w:rsidR="005C0581" w:rsidRDefault="005C0581" w:rsidP="009F335D">
            <w:pPr>
              <w:tabs>
                <w:tab w:val="left" w:pos="6090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____________№ ______ </w:t>
            </w:r>
          </w:p>
        </w:tc>
      </w:tr>
    </w:tbl>
    <w:p w14:paraId="0EA8E56D" w14:textId="77777777" w:rsidR="005C0581" w:rsidRDefault="005C0581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A1DE6" w14:textId="7FE15ABE" w:rsidR="00A76EB3" w:rsidRPr="00BC2CDB" w:rsidRDefault="008D0942" w:rsidP="00F418F1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Программа</w:t>
      </w:r>
      <w:r w:rsidR="00A76EB3" w:rsidRPr="00CB66E7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="00800F50" w:rsidRPr="00CB66E7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рисков </w:t>
      </w:r>
      <w:r w:rsidR="00C05CA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800F50" w:rsidRPr="00CB66E7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  <w:bookmarkStart w:id="0" w:name="_Hlk81917469"/>
      <w:r w:rsidR="00C05CA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BC2CDB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4C7B53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 w:rsidR="00BC2CDB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C7B53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581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</w:t>
      </w:r>
      <w:r w:rsidR="004C7B53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="0077555D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экологического</w:t>
      </w:r>
      <w:r w:rsidR="004C7B53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F50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(надзора)</w:t>
      </w:r>
      <w:r w:rsidR="00CB66E7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55D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7555D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собственности, осуществляющих свою деятельность на территории </w:t>
      </w:r>
      <w:r w:rsidR="00C05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Борский</w:t>
      </w:r>
      <w:r w:rsidR="0077555D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A76EB3" w:rsidRPr="0077555D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77555D" w:rsidRPr="0077555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на </w:t>
      </w:r>
      <w:r w:rsidR="00A76EB3" w:rsidRPr="0077555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202</w:t>
      </w:r>
      <w:r w:rsidR="00800F50" w:rsidRPr="0077555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2</w:t>
      </w:r>
      <w:r w:rsidR="00A76EB3" w:rsidRPr="0077555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 w:rsidR="00A76EB3" w:rsidRPr="0077555D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bookmarkEnd w:id="0"/>
    <w:p w14:paraId="6749D718" w14:textId="4F3DFBF6" w:rsidR="004C7B53" w:rsidRDefault="004C7B53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CFAD4AA" w14:textId="77777777" w:rsidR="00C0064A" w:rsidRPr="00C0064A" w:rsidRDefault="00BC2CDB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14:paraId="30C87D6F" w14:textId="77777777" w:rsidR="00C0064A" w:rsidRDefault="00C0064A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48AA2D1D" w14:textId="039DFF64" w:rsidR="00C0064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BE3E5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77555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должностным лицом отдела </w:t>
      </w:r>
      <w:r w:rsidR="0081386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</w:t>
      </w:r>
      <w:r w:rsidR="00813860" w:rsidRPr="0081386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контроля</w:t>
      </w:r>
      <w:r w:rsidR="003761BF" w:rsidRPr="003761B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81386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="0077555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дминистрации муниципального района </w:t>
      </w:r>
      <w:r w:rsidR="003761B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Борский</w:t>
      </w:r>
      <w:r w:rsidR="00CB66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Самарской области, уполномоченным на проведение </w:t>
      </w:r>
      <w:r w:rsidR="0077555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регионального государственного экологического</w:t>
      </w:r>
      <w:r w:rsidR="00CB66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контроля (надзора) (далее Уполномоченное лицо), </w:t>
      </w:r>
      <w:r w:rsidR="00CB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отдельных</w:t>
      </w:r>
      <w:r w:rsidR="00CB66E7" w:rsidRPr="00CB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</w:t>
      </w:r>
      <w:r w:rsidR="00CB6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полномочий</w:t>
      </w:r>
      <w:r w:rsidR="00CB66E7" w:rsidRPr="00CB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</w:t>
      </w:r>
      <w:r w:rsidR="00CB66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</w:t>
      </w:r>
      <w:r w:rsidR="00CB66E7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собственности, осуществляющих свою деятельность на территории </w:t>
      </w:r>
      <w:r w:rsidR="0037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B66E7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7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Борский</w:t>
      </w:r>
      <w:r w:rsidR="00CB66E7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CB66E7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(далее – Программа). </w:t>
      </w:r>
    </w:p>
    <w:p w14:paraId="2CCED4A8" w14:textId="77777777" w:rsidR="00C0064A" w:rsidRDefault="00C0064A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3F7A8C1E" w14:textId="06996177" w:rsidR="00C0064A" w:rsidRPr="00C0064A" w:rsidRDefault="00BC2CDB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</w:t>
      </w:r>
      <w:r w:rsid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Программы</w:t>
      </w:r>
    </w:p>
    <w:p w14:paraId="4A646DF3" w14:textId="77777777" w:rsidR="00C0064A" w:rsidRDefault="00C0064A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D30AEFF" w14:textId="77777777" w:rsidR="00C0064A" w:rsidRPr="00EF4F64" w:rsidRDefault="00BC2CDB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</w:pPr>
      <w:r w:rsidRPr="00EF4F64"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>Виды осуществляемого государственного контроля (надзора).</w:t>
      </w:r>
    </w:p>
    <w:p w14:paraId="046B67C1" w14:textId="77777777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Уполномоченное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реализуются переданные отдельные государственные полномочия в области охраны окружающей среды, в следующих направлениях надзорной деятельности:</w:t>
      </w:r>
    </w:p>
    <w:p w14:paraId="2778032C" w14:textId="77777777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области охраны атмосферного воздуха;</w:t>
      </w:r>
    </w:p>
    <w:p w14:paraId="421E8155" w14:textId="77777777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области обращения с отходами;</w:t>
      </w:r>
    </w:p>
    <w:p w14:paraId="27546542" w14:textId="71452851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области охраны водных объектов, за исключением водных объектов, подлежащих федеральному государственному надзору.</w:t>
      </w:r>
      <w:r w:rsidR="009109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BD6479" w14:textId="77777777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Субъекты, в отношении которых осуществляется региональный экологический контроль (надзор) (далее - подконтрольные субъекты):</w:t>
      </w:r>
    </w:p>
    <w:p w14:paraId="5BC46B71" w14:textId="77777777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-органы местного самоуправления;</w:t>
      </w:r>
    </w:p>
    <w:p w14:paraId="195AC710" w14:textId="77777777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-юридические лица;</w:t>
      </w:r>
    </w:p>
    <w:p w14:paraId="4A9371B3" w14:textId="77777777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-индивидуальные предприниматели;</w:t>
      </w:r>
    </w:p>
    <w:p w14:paraId="157DC569" w14:textId="77777777"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-крестьянско-фермерские хозяйства;</w:t>
      </w:r>
    </w:p>
    <w:p w14:paraId="24FE7589" w14:textId="4D866AA0" w:rsidR="006E4AE4" w:rsidRPr="00611C63" w:rsidRDefault="00CB66E7" w:rsidP="00611C63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F510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осуществляющие хозяйственную и (или) иную деятельность на объектах, </w:t>
      </w:r>
      <w:r w:rsidRPr="005C76F7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района </w:t>
      </w:r>
      <w:r w:rsidR="003761BF">
        <w:rPr>
          <w:rFonts w:ascii="Times New Roman" w:hAnsi="Times New Roman"/>
          <w:sz w:val="28"/>
          <w:szCs w:val="28"/>
        </w:rPr>
        <w:t>Борский</w:t>
      </w:r>
      <w:r w:rsidRPr="005C76F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11C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94451A" w14:textId="77777777" w:rsidR="006121A2" w:rsidRDefault="00BC2CDB" w:rsidP="00BE3E5E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6121A2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Обзор по виду</w:t>
      </w:r>
      <w:r w:rsidR="006121A2" w:rsidRPr="006121A2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6121A2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государственного контроля (надзора).</w:t>
      </w:r>
    </w:p>
    <w:p w14:paraId="5E31AB83" w14:textId="001F70C4" w:rsidR="00300DF9" w:rsidRDefault="00611C63" w:rsidP="00611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Региональный </w:t>
      </w:r>
      <w:r w:rsidRPr="00611C63"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>г</w:t>
      </w:r>
      <w:r w:rsidR="00BC2CDB" w:rsidRP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осударственный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экологический</w:t>
      </w:r>
      <w:r w:rsidR="006121A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контроль (надзор) направлен на соблюдение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законодательства 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6E762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осуществлении деятельности на</w:t>
      </w:r>
      <w:r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6DD287" w14:textId="77777777" w:rsidR="00C15D39" w:rsidRPr="00C15D3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C15D39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Государственный надзор осуществляется посредством: </w:t>
      </w:r>
    </w:p>
    <w:p w14:paraId="59F13A30" w14:textId="38B56447" w:rsidR="00C15D3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P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требований </w:t>
      </w:r>
      <w:r w:rsidR="00C15D39" w:rsidRP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области</w:t>
      </w:r>
      <w:r w:rsidR="00611C63" w:rsidRPr="00611C63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законодательства в области охраны окружающей среды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14:paraId="6A70197A" w14:textId="77777777" w:rsidR="00C15D3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116DDFFB" w14:textId="77777777" w:rsidR="00C15D3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513E17E9" w14:textId="5135CBD2" w:rsidR="00CF5A84" w:rsidRDefault="00BC2CDB" w:rsidP="00611C63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19D20811" w14:textId="6325AFF4" w:rsidR="001A7F24" w:rsidRDefault="00BC2CDB" w:rsidP="00611C63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Уполномоченным лицом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мероприятий по 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региональному государственному экологическому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контролю (надзору)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размещен на официальном сайте </w:t>
      </w:r>
      <w:r w:rsidR="00D62C4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дминистрации муниципального района </w:t>
      </w:r>
      <w:r w:rsidR="003761B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Борский 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Самарской области, в разделе</w:t>
      </w:r>
      <w:r w:rsidR="006633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«</w:t>
      </w:r>
      <w:r w:rsidR="003761B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Контрольно-надзорная деятельность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14:paraId="233C30BC" w14:textId="77777777"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С целью учета риска для окружающей среды подконтрольные </w:t>
      </w:r>
      <w:r w:rsidRPr="002727E8">
        <w:rPr>
          <w:rFonts w:ascii="Times New Roman" w:eastAsia="Calibri" w:hAnsi="Times New Roman" w:cs="Times New Roman"/>
          <w:sz w:val="28"/>
          <w:szCs w:val="28"/>
        </w:rPr>
        <w:lastRenderedPageBreak/>
        <w:t>объекты, подлежащие региональному государственному экологическому надзору,  распределены на 4 категории по уровню негативного воздействия на окружающую среду:</w:t>
      </w:r>
    </w:p>
    <w:p w14:paraId="572662F4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14:paraId="76AF0F7E" w14:textId="1399F721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объекты, оказывающие умеренное негативное воздействие на окружающую среду, - объекты II категории;</w:t>
      </w:r>
    </w:p>
    <w:p w14:paraId="34F24158" w14:textId="14AA790B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объекты, оказывающие незначительное негативное воздействие на окружающую среду, - объекты III категории;</w:t>
      </w:r>
    </w:p>
    <w:p w14:paraId="4CC1AE73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объекты, оказывающие минимальное негативное воздействие на окружающую среду, - объекты IV категории. </w:t>
      </w:r>
    </w:p>
    <w:p w14:paraId="3D4E57AE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года № 1029 «Об утверждении критериев отнесения объектов, оказывающих негативное воздействие на окружающую среду, к объектам I, II, III и IV категорий». </w:t>
      </w:r>
    </w:p>
    <w:p w14:paraId="01868941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на осуществление регионального государственного экологического контроля (надзора), </w:t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применяет риск-ориентированный подход при организации и осуществлении регионального государственного экологического контроля (надзора), что привело к значительному снижению интенсивности надзорных мероприятий. </w:t>
      </w:r>
    </w:p>
    <w:p w14:paraId="214C2A54" w14:textId="7C9DAB63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Риск-ориентированный подход представляет собой метод организации и осуществления государственного контроля (надзора), при котором в предусмотренных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</w:t>
      </w:r>
    </w:p>
    <w:p w14:paraId="02009656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Критерии отнесения используемых юридическими лицами и индивидуальными предпринимателями производственных объектов к определенной категории риска для регионального государственного </w:t>
      </w:r>
      <w:r w:rsidRPr="002727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экологического контроля (надзора) утверждены постановлением Правительства Российской Федерации от 22 ноября 2017 года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надзора». </w:t>
      </w:r>
    </w:p>
    <w:p w14:paraId="6B941A99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Применительно к организации и осуществлению регионального государственного экологического контроля (надзора) установлены пять категорий риска производственных объектов. </w:t>
      </w:r>
    </w:p>
    <w:p w14:paraId="2BCD4E5E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>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контроля (надзора), проводятся:</w:t>
      </w:r>
    </w:p>
    <w:p w14:paraId="7E4438CC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высокого риска - один раз в 2 года;</w:t>
      </w:r>
    </w:p>
    <w:p w14:paraId="1A43E359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значительного риска - один раз в 3 года;</w:t>
      </w:r>
    </w:p>
    <w:p w14:paraId="39757CEA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среднего риска - не чаще чем один раз в 4 года; </w:t>
      </w:r>
    </w:p>
    <w:p w14:paraId="6B45DD98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умеренного риска проводятся не чаще чем один раз в 5 лет; </w:t>
      </w:r>
    </w:p>
    <w:p w14:paraId="72530015" w14:textId="77777777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низкого риска не проводятся. </w:t>
      </w:r>
    </w:p>
    <w:p w14:paraId="2B099817" w14:textId="60CCE173" w:rsidR="002727E8" w:rsidRPr="002727E8" w:rsidRDefault="002727E8" w:rsidP="005808A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>При этом предусмотрены основания как для повышения категории риска производственного объекта, так и снижения категории риска производственного объекта для тех подконтрольных субъектов, кто добросовестно соблюдает требования действующего законодательства.</w:t>
      </w:r>
    </w:p>
    <w:p w14:paraId="4FF7984F" w14:textId="77777777" w:rsidR="001A7F24" w:rsidRPr="001A7F24" w:rsidRDefault="00BC2CDB" w:rsidP="005808A4">
      <w:pPr>
        <w:shd w:val="clear" w:color="auto" w:fill="FFFFFF"/>
        <w:tabs>
          <w:tab w:val="left" w:pos="8222"/>
        </w:tabs>
        <w:spacing w:after="0"/>
        <w:ind w:right="-1" w:firstLine="567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Данные о проведенных мероприятиях. </w:t>
      </w:r>
    </w:p>
    <w:p w14:paraId="004EFCAF" w14:textId="0D1E3A6E" w:rsidR="001A7F24" w:rsidRDefault="00BC2CDB" w:rsidP="005808A4">
      <w:pPr>
        <w:shd w:val="clear" w:color="auto" w:fill="FFFFFF"/>
        <w:tabs>
          <w:tab w:val="left" w:pos="8222"/>
        </w:tabs>
        <w:spacing w:after="0"/>
        <w:ind w:right="-1" w:firstLine="567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5808A4">
        <w:rPr>
          <w:rFonts w:ascii="Times New Roman" w:eastAsia="Arial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2020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году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Уполномоченным лицом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выполнены все мероприятия, предусмотренные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Программой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3948FA" w:rsidRPr="003948FA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</w:t>
      </w:r>
      <w:r w:rsidR="00C26B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48FA" w:rsidRPr="003948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26B6F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="003948FA" w:rsidRPr="003948FA">
        <w:rPr>
          <w:rFonts w:ascii="Times New Roman" w:hAnsi="Times New Roman" w:cs="Times New Roman"/>
          <w:sz w:val="28"/>
          <w:szCs w:val="28"/>
        </w:rPr>
        <w:t xml:space="preserve">Самарской области и подлежащих региональному экологическому надзору на </w:t>
      </w:r>
      <w:r w:rsidR="003948FA" w:rsidRPr="005808A4">
        <w:rPr>
          <w:rFonts w:ascii="Times New Roman" w:hAnsi="Times New Roman" w:cs="Times New Roman"/>
          <w:b/>
          <w:sz w:val="28"/>
          <w:szCs w:val="28"/>
        </w:rPr>
        <w:t>2021</w:t>
      </w:r>
      <w:r w:rsidR="003948FA" w:rsidRPr="003948FA">
        <w:rPr>
          <w:rFonts w:ascii="Times New Roman" w:hAnsi="Times New Roman" w:cs="Times New Roman"/>
          <w:sz w:val="28"/>
          <w:szCs w:val="28"/>
        </w:rPr>
        <w:t xml:space="preserve"> год и на плановый период 2022-2023 годы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5808A4">
        <w:rPr>
          <w:rFonts w:ascii="Times New Roman" w:eastAsia="Arial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2021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году ведется работа в соответствии с указанной программой.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П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роводятся плановые проверки </w:t>
      </w:r>
      <w:r w:rsidRPr="00764EB6">
        <w:rPr>
          <w:rFonts w:ascii="Times New Roman" w:eastAsia="Arial" w:hAnsi="Times New Roman" w:cs="Times New Roman"/>
          <w:color w:val="FF0000"/>
          <w:spacing w:val="-4"/>
          <w:sz w:val="28"/>
          <w:szCs w:val="28"/>
          <w:shd w:val="clear" w:color="auto" w:fill="FFFFFF"/>
        </w:rPr>
        <w:t>индивидуальных предпринимателей</w:t>
      </w:r>
      <w:r w:rsidR="00764EB6">
        <w:rPr>
          <w:rFonts w:ascii="Times New Roman" w:eastAsia="Arial" w:hAnsi="Times New Roman" w:cs="Times New Roman"/>
          <w:color w:val="FF0000"/>
          <w:spacing w:val="-4"/>
          <w:sz w:val="28"/>
          <w:szCs w:val="28"/>
          <w:shd w:val="clear" w:color="auto" w:fill="FFFFFF"/>
        </w:rPr>
        <w:t xml:space="preserve"> </w:t>
      </w:r>
      <w:r w:rsidR="00764EB6" w:rsidRPr="00B014BB">
        <w:rPr>
          <w:rFonts w:ascii="Times New Roman" w:eastAsia="Arial" w:hAnsi="Times New Roman" w:cs="Times New Roman"/>
          <w:color w:val="FF0000"/>
          <w:spacing w:val="-4"/>
          <w:sz w:val="28"/>
          <w:szCs w:val="28"/>
          <w:shd w:val="clear" w:color="auto" w:fill="FFFFFF"/>
        </w:rPr>
        <w:t>(малый бизнес мораторий)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юридических лиц в соответствии с ежегодным планом проведения плановых проверок юридических лиц и индивидуальных предпринимателей, утвержденным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который вошли 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юридические лица </w:t>
      </w:r>
      <w:r w:rsidR="001A7F24" w:rsidRPr="00B014BB">
        <w:rPr>
          <w:rFonts w:ascii="Times New Roman" w:eastAsia="Arial" w:hAnsi="Times New Roman" w:cs="Times New Roman"/>
          <w:color w:val="FF0000"/>
          <w:spacing w:val="-4"/>
          <w:sz w:val="28"/>
          <w:szCs w:val="28"/>
          <w:shd w:val="clear" w:color="auto" w:fill="FFFFFF"/>
        </w:rPr>
        <w:t>и индивидуальные предприниматели</w:t>
      </w:r>
      <w:r w:rsidR="00B014B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B014BB" w:rsidRPr="00B014BB">
        <w:rPr>
          <w:rFonts w:ascii="Times New Roman" w:eastAsia="Arial" w:hAnsi="Times New Roman" w:cs="Times New Roman"/>
          <w:color w:val="FF0000"/>
          <w:spacing w:val="-4"/>
          <w:sz w:val="28"/>
          <w:szCs w:val="28"/>
          <w:shd w:val="clear" w:color="auto" w:fill="FFFFFF"/>
        </w:rPr>
        <w:t>(малый бизнес мораторий)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осуществляющие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свою деятельность на территории муниципального района </w:t>
      </w:r>
      <w:r w:rsidR="00C26B6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Борский</w:t>
      </w:r>
      <w:r w:rsidR="00DA5F4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Самарской области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14:paraId="528D4C98" w14:textId="77777777" w:rsidR="001A7F24" w:rsidRPr="001A7F24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Анализ и оценка рисков причинения вреда охраняемым законом ценностям. </w:t>
      </w:r>
    </w:p>
    <w:p w14:paraId="178FF524" w14:textId="5027CCB9" w:rsidR="00F03F1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Наиболее значимым риском является 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факт причинения вреда природным объектам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вследствие нарушения законодательства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 области охраны окружающей среды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56090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(в том числе выразившегося в загрязнении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почвы, воздуха и водных объектов </w:t>
      </w:r>
      <w:r w:rsidR="0056090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сточными водами, химическими, радиоактивными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другими вредными веществами, отходами производства и (или) в ином негативном воздействии на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окружающую среду,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6592B243" w14:textId="034E12FA" w:rsidR="001A7F24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соблюдение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контролируемыми лицами соблюдения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</w:t>
      </w:r>
      <w:r w:rsidR="006E4AE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законодательства </w:t>
      </w:r>
      <w:r w:rsidR="006E4AE4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будет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способствовать повышению их ответственности, а также снижению количества совершаемых нарушений. </w:t>
      </w:r>
    </w:p>
    <w:p w14:paraId="3940ADEB" w14:textId="77777777" w:rsidR="001A7F24" w:rsidRPr="001A7F24" w:rsidRDefault="001A7F2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652A446F" w14:textId="722FA18D" w:rsidR="001A7F24" w:rsidRPr="001A7F24" w:rsidRDefault="00BC2CDB" w:rsidP="001A7F24">
      <w:pPr>
        <w:shd w:val="clear" w:color="auto" w:fill="FFFFFF"/>
        <w:tabs>
          <w:tab w:val="left" w:pos="8222"/>
        </w:tabs>
        <w:spacing w:after="0"/>
        <w:ind w:right="-1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14:paraId="3546A4DE" w14:textId="77777777" w:rsidR="001A7F24" w:rsidRDefault="001A7F2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76277EBA" w14:textId="77777777" w:rsidR="001A7F24" w:rsidRPr="001A7F24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Цели Программы: </w:t>
      </w:r>
    </w:p>
    <w:p w14:paraId="6B391B57" w14:textId="77777777"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4BA012D8" w14:textId="77777777"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83390D3" w14:textId="43C6364C" w:rsidR="00E45210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61DCA11" w14:textId="77777777" w:rsidR="006E4AE4" w:rsidRDefault="006E4AE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2D6C3B42" w14:textId="76578FC6" w:rsidR="0043709B" w:rsidRPr="00E45210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E45210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Задачи Программы: </w:t>
      </w:r>
    </w:p>
    <w:p w14:paraId="697BFA4B" w14:textId="15D653CC"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выявление причин, факторов и условий, способствующих нарушению обязательных требований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законодательства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определение способов устранения или снижения рисков их возникновения; </w:t>
      </w:r>
    </w:p>
    <w:p w14:paraId="57874339" w14:textId="77777777" w:rsidR="00E45210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697F3BFE" w14:textId="37285FD1"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формирование единого понимания обязательных требований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законодательства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у всех участников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орной)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деятельности; </w:t>
      </w:r>
    </w:p>
    <w:p w14:paraId="73323ADC" w14:textId="036549CC" w:rsidR="00E45210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прозрачности осуществляемой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Уполномоченным лицом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надзорной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деятельности; </w:t>
      </w:r>
    </w:p>
    <w:p w14:paraId="58BFA5A8" w14:textId="4E792EAE"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повышение уровня правовой грамотности под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контрольных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субъектов, в том числе путем обеспечения доступности информации об обязательных требованиях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законодательства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необходимых мерах по их исполнению. </w:t>
      </w:r>
    </w:p>
    <w:p w14:paraId="643D0B65" w14:textId="77777777"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1A410E39" w14:textId="1650BBB3" w:rsidR="0043709B" w:rsidRPr="0043709B" w:rsidRDefault="00BC2CDB" w:rsidP="005E56FE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43709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14:paraId="2EE80691" w14:textId="77777777"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7C4D1676" w14:textId="272F819D"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области </w:t>
      </w:r>
      <w:r w:rsidR="006B49C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охраны окружающей среды на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2022 год (приложение). </w:t>
      </w:r>
    </w:p>
    <w:p w14:paraId="6DD9A9F5" w14:textId="77777777"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643B62F8" w14:textId="541EBB9A" w:rsidR="0043709B" w:rsidRPr="005E56FE" w:rsidRDefault="00BC2CDB" w:rsidP="005E56FE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</w:t>
      </w:r>
      <w:r w:rsidR="005E56FE"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5</w:t>
      </w: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. Показатели результативности и эффективности Программы.</w:t>
      </w:r>
    </w:p>
    <w:p w14:paraId="1473A136" w14:textId="77777777"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117FB19D" w14:textId="77777777"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Отчетные показатели Программы </w:t>
      </w:r>
      <w:r w:rsidRPr="005808A4">
        <w:rPr>
          <w:rFonts w:ascii="Times New Roman" w:eastAsia="Arial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за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154C54">
        <w:rPr>
          <w:rFonts w:ascii="Times New Roman" w:eastAsia="Arial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2020 год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14:paraId="181E7134" w14:textId="40653E5F"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доля нарушений, выявленных в ходе проведения контрольно</w:t>
      </w:r>
      <w:r w:rsidR="005E56F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надзорных мероприятий, от общего числа контрольно-надзорных мероприятий, осуществленных в отношении подконтрольных субъектов</w:t>
      </w:r>
      <w:r w:rsidR="009538B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2</w:t>
      </w:r>
      <w:r w:rsidR="009538B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0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%. </w:t>
      </w:r>
    </w:p>
    <w:p w14:paraId="6CD6DB9A" w14:textId="3CFEDAD8"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 </w:t>
      </w:r>
    </w:p>
    <w:p w14:paraId="46F1EF51" w14:textId="703A8E0F"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доля профилактических мероприятий в объеме контрольно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надзорных мероприятий</w:t>
      </w:r>
      <w:r w:rsidR="009538B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6</w:t>
      </w:r>
      <w:r w:rsidR="006B49C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0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%. </w:t>
      </w:r>
    </w:p>
    <w:p w14:paraId="491C4824" w14:textId="77777777"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надзорных мероприятий. Ожидается ежегодный рост указанного показателя. </w:t>
      </w:r>
    </w:p>
    <w:p w14:paraId="0AB7DD83" w14:textId="77777777" w:rsidR="00E32558" w:rsidRP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E32558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14:paraId="09F3C0DA" w14:textId="3C38D856"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минимизация ресурсных затрат всех участников контрольно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14:paraId="6F3DC01F" w14:textId="70195CBB" w:rsidR="00BC2CDB" w:rsidRPr="006121A2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Управлению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14:paraId="6A76397E" w14:textId="77777777" w:rsidR="005E61E6" w:rsidRPr="005E61E6" w:rsidRDefault="005E61E6" w:rsidP="005E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6. Порядок управления Программой. </w:t>
      </w:r>
    </w:p>
    <w:p w14:paraId="679F7093" w14:textId="14312117" w:rsidR="005E61E6" w:rsidRDefault="005E61E6" w:rsidP="005E61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5E6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</w:t>
      </w:r>
      <w:r w:rsidR="006B49CD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при осуществлении регионального государственного экологического</w:t>
      </w:r>
      <w:r w:rsidRPr="005E61E6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контроля (надзора) на </w:t>
      </w:r>
      <w:r w:rsidR="006B49CD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территории муниципального района </w:t>
      </w:r>
      <w:r w:rsidR="00154C54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Борский</w:t>
      </w:r>
      <w:r w:rsidR="006B49CD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Самарской области</w:t>
      </w:r>
    </w:p>
    <w:p w14:paraId="522AD0B8" w14:textId="4F9606DF" w:rsidR="005E61E6" w:rsidRDefault="005E61E6" w:rsidP="005E61E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3382"/>
        <w:gridCol w:w="2835"/>
        <w:gridCol w:w="2262"/>
      </w:tblGrid>
      <w:tr w:rsidR="005E61E6" w:rsidRPr="005E61E6" w14:paraId="2C9F361D" w14:textId="77777777" w:rsidTr="003F5B41">
        <w:tc>
          <w:tcPr>
            <w:tcW w:w="582" w:type="dxa"/>
          </w:tcPr>
          <w:p w14:paraId="63CD7B66" w14:textId="77777777"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14:paraId="449B8FEF" w14:textId="7B61BAEA"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382" w:type="dxa"/>
          </w:tcPr>
          <w:p w14:paraId="1EED90B4" w14:textId="08D488CC"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14:paraId="1AD51645" w14:textId="1B99FEB4"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262" w:type="dxa"/>
          </w:tcPr>
          <w:p w14:paraId="7BC4167A" w14:textId="770C59BB" w:rsidR="005E61E6" w:rsidRPr="003F5B41" w:rsidRDefault="005E61E6" w:rsidP="00620332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5E61E6" w14:paraId="06C03E55" w14:textId="77777777" w:rsidTr="003F5B41">
        <w:tc>
          <w:tcPr>
            <w:tcW w:w="582" w:type="dxa"/>
          </w:tcPr>
          <w:p w14:paraId="72EBD0AC" w14:textId="503C2DAF"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82" w:type="dxa"/>
          </w:tcPr>
          <w:p w14:paraId="5BB14407" w14:textId="3C8FDC93" w:rsidR="005E61E6" w:rsidRPr="003F5B41" w:rsidRDefault="006B49CD" w:rsidP="00764EB6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Начальник отдела </w:t>
            </w:r>
            <w:r w:rsidR="00764EB6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контроля</w:t>
            </w:r>
          </w:p>
        </w:tc>
        <w:tc>
          <w:tcPr>
            <w:tcW w:w="2835" w:type="dxa"/>
          </w:tcPr>
          <w:p w14:paraId="3A8BAFF6" w14:textId="47E6D3B0" w:rsidR="005E61E6" w:rsidRPr="003F5B41" w:rsidRDefault="00750B12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Организация, координация деятельности и проведение мероприятий</w:t>
            </w:r>
            <w:r w:rsidR="00817C59"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по реализации программы</w:t>
            </w:r>
          </w:p>
        </w:tc>
        <w:tc>
          <w:tcPr>
            <w:tcW w:w="2262" w:type="dxa"/>
          </w:tcPr>
          <w:p w14:paraId="1BEA4E08" w14:textId="50D1B6AC" w:rsidR="00620332" w:rsidRPr="006B49CD" w:rsidRDefault="006B49CD" w:rsidP="00154C54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B49CD">
              <w:rPr>
                <w:rStyle w:val="a4"/>
                <w:rFonts w:ascii="Times New Roman" w:hAnsi="Times New Roman" w:cs="Times New Roman"/>
                <w:color w:val="auto"/>
              </w:rPr>
              <w:t>88466</w:t>
            </w:r>
            <w:r w:rsidR="00154C54">
              <w:rPr>
                <w:rStyle w:val="a4"/>
                <w:rFonts w:ascii="Times New Roman" w:hAnsi="Times New Roman" w:cs="Times New Roman"/>
                <w:color w:val="auto"/>
              </w:rPr>
              <w:t>721989</w:t>
            </w:r>
          </w:p>
        </w:tc>
      </w:tr>
      <w:tr w:rsidR="005E61E6" w14:paraId="10AA9F4D" w14:textId="77777777" w:rsidTr="003F5B41">
        <w:tc>
          <w:tcPr>
            <w:tcW w:w="582" w:type="dxa"/>
          </w:tcPr>
          <w:p w14:paraId="182409EA" w14:textId="702FE45B" w:rsidR="005E61E6" w:rsidRPr="003F5B41" w:rsidRDefault="001209DD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82" w:type="dxa"/>
          </w:tcPr>
          <w:p w14:paraId="399D10FA" w14:textId="3F2862AD" w:rsidR="005E61E6" w:rsidRPr="003F5B41" w:rsidRDefault="006B49CD" w:rsidP="00764EB6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Начальник отдела </w:t>
            </w:r>
            <w:r w:rsidR="00764EB6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муниципального контроля</w:t>
            </w:r>
          </w:p>
        </w:tc>
        <w:tc>
          <w:tcPr>
            <w:tcW w:w="2835" w:type="dxa"/>
          </w:tcPr>
          <w:p w14:paraId="59A11EC9" w14:textId="18A77218" w:rsidR="005E61E6" w:rsidRPr="003F5B41" w:rsidRDefault="00817C59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2" w:type="dxa"/>
          </w:tcPr>
          <w:p w14:paraId="1526E84D" w14:textId="7F9CF9BE" w:rsidR="005E61E6" w:rsidRPr="003F5B41" w:rsidRDefault="006B49CD" w:rsidP="00154C54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88466</w:t>
            </w:r>
            <w:r w:rsidR="00154C54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154C54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1989</w:t>
            </w:r>
          </w:p>
        </w:tc>
      </w:tr>
    </w:tbl>
    <w:p w14:paraId="499285A8" w14:textId="151E6669" w:rsidR="005E61E6" w:rsidRDefault="005E61E6" w:rsidP="005E61E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p w14:paraId="6C148DF1" w14:textId="57A6B642" w:rsidR="00FD6DCC" w:rsidRPr="00FD6DCC" w:rsidRDefault="00FD6DCC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DC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</w:t>
      </w:r>
      <w:r w:rsidR="006B49CD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</w:t>
      </w:r>
      <w:r w:rsidRPr="00FD6DCC">
        <w:rPr>
          <w:rFonts w:ascii="Times New Roman" w:hAnsi="Times New Roman" w:cs="Times New Roman"/>
          <w:sz w:val="28"/>
          <w:szCs w:val="28"/>
        </w:rPr>
        <w:t xml:space="preserve"> контроля (надзора) на территории </w:t>
      </w:r>
      <w:r w:rsidR="009F13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54C54">
        <w:rPr>
          <w:rFonts w:ascii="Times New Roman" w:hAnsi="Times New Roman" w:cs="Times New Roman"/>
          <w:sz w:val="28"/>
          <w:szCs w:val="28"/>
        </w:rPr>
        <w:t>Борский</w:t>
      </w:r>
      <w:r w:rsidR="009F13BC"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FD6DCC">
        <w:rPr>
          <w:rFonts w:ascii="Times New Roman" w:hAnsi="Times New Roman" w:cs="Times New Roman"/>
          <w:sz w:val="28"/>
          <w:szCs w:val="28"/>
        </w:rPr>
        <w:t>2022 год</w:t>
      </w:r>
      <w:r w:rsidR="009F1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41776B" w14:textId="2E9A9ADA" w:rsidR="00417AA3" w:rsidRDefault="00FD6DCC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DCC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</w:t>
      </w:r>
      <w:r w:rsidR="006B49CD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Pr="00FD6DCC">
        <w:rPr>
          <w:rFonts w:ascii="Times New Roman" w:hAnsi="Times New Roman" w:cs="Times New Roman"/>
          <w:sz w:val="28"/>
          <w:szCs w:val="28"/>
        </w:rPr>
        <w:t xml:space="preserve">включаются в Доклад об осуществлении </w:t>
      </w:r>
      <w:r w:rsidR="006B49C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F13BC">
        <w:rPr>
          <w:rFonts w:ascii="Times New Roman" w:hAnsi="Times New Roman" w:cs="Times New Roman"/>
          <w:sz w:val="28"/>
          <w:szCs w:val="28"/>
        </w:rPr>
        <w:t>государственного экологического</w:t>
      </w:r>
      <w:r w:rsidRPr="00FD6DCC">
        <w:rPr>
          <w:rFonts w:ascii="Times New Roman" w:hAnsi="Times New Roman" w:cs="Times New Roman"/>
          <w:sz w:val="28"/>
          <w:szCs w:val="28"/>
        </w:rPr>
        <w:t xml:space="preserve"> контроля (надзора) </w:t>
      </w:r>
      <w:r w:rsidR="009F13BC" w:rsidRPr="00FD6DC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13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54C54">
        <w:rPr>
          <w:rFonts w:ascii="Times New Roman" w:hAnsi="Times New Roman" w:cs="Times New Roman"/>
          <w:sz w:val="28"/>
          <w:szCs w:val="28"/>
        </w:rPr>
        <w:t>Борский</w:t>
      </w:r>
      <w:r w:rsidR="009F13BC"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="009F13BC" w:rsidRPr="00FD6DCC">
        <w:rPr>
          <w:rFonts w:ascii="Times New Roman" w:hAnsi="Times New Roman" w:cs="Times New Roman"/>
          <w:sz w:val="28"/>
          <w:szCs w:val="28"/>
        </w:rPr>
        <w:t>2022 год</w:t>
      </w:r>
      <w:r w:rsidR="009F13BC">
        <w:rPr>
          <w:rFonts w:ascii="Times New Roman" w:hAnsi="Times New Roman" w:cs="Times New Roman"/>
          <w:sz w:val="28"/>
          <w:szCs w:val="28"/>
        </w:rPr>
        <w:t>у.</w:t>
      </w:r>
    </w:p>
    <w:p w14:paraId="0BDDA420" w14:textId="3171F9D5" w:rsidR="00E82C94" w:rsidRDefault="00E82C94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C8A32A6" w14:textId="328DA5F8" w:rsidR="002406C2" w:rsidRDefault="002406C2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F24EBB7" w14:textId="4673B667" w:rsidR="00300DF9" w:rsidRDefault="00300DF9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0296F0C" w14:textId="77777777" w:rsidR="00300DF9" w:rsidRDefault="00300DF9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8E1F2D2" w14:textId="77777777" w:rsidR="00B014BB" w:rsidRDefault="00B014BB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2D59BA" w14:textId="77777777" w:rsidR="00B014BB" w:rsidRDefault="00B014BB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D7FC93" w14:textId="77777777" w:rsidR="00B014BB" w:rsidRDefault="00B014BB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22422" w14:textId="74B3D36D"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27A0EB85" w14:textId="31C2EFEA"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>к Программе профилактики рисков</w:t>
      </w:r>
    </w:p>
    <w:p w14:paraId="63780583" w14:textId="1E7AAC77"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>причинения вреда (ущерба)</w:t>
      </w:r>
    </w:p>
    <w:p w14:paraId="54E769B2" w14:textId="4CF36B8E" w:rsidR="007A62C0" w:rsidRDefault="00417AA3" w:rsidP="002406C2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</w:t>
      </w:r>
    </w:p>
    <w:p w14:paraId="3F3F6CA0" w14:textId="680589E5" w:rsidR="00417AA3" w:rsidRDefault="007A62C0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A62C0">
        <w:rPr>
          <w:rFonts w:ascii="Times New Roman" w:hAnsi="Times New Roman" w:cs="Times New Roman"/>
          <w:sz w:val="24"/>
          <w:szCs w:val="24"/>
          <w:lang w:eastAsia="ru-RU"/>
        </w:rPr>
        <w:t>на 2022 год</w:t>
      </w:r>
    </w:p>
    <w:p w14:paraId="219C61CD" w14:textId="0760BD2F"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466108" w14:textId="18054926"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0993DD" w14:textId="242CF169" w:rsidR="009F13BC" w:rsidRPr="009F13BC" w:rsidRDefault="00E82C94" w:rsidP="009F13B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9F13BC">
        <w:rPr>
          <w:rFonts w:ascii="Times New Roman" w:hAnsi="Times New Roman" w:cs="Times New Roman"/>
          <w:bCs/>
          <w:sz w:val="28"/>
          <w:szCs w:val="28"/>
          <w:lang w:eastAsia="ru-RU"/>
        </w:rPr>
        <w:t>План мероприятий п</w:t>
      </w:r>
      <w:r w:rsidR="009F13BC" w:rsidRPr="009F13BC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C03C8A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профилактике</w:t>
      </w:r>
      <w:r w:rsidR="009F13BC" w:rsidRPr="009F13B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рисков </w:t>
      </w:r>
    </w:p>
    <w:p w14:paraId="3B7A7082" w14:textId="77777777" w:rsidR="009F13BC" w:rsidRPr="009F13BC" w:rsidRDefault="009F13BC" w:rsidP="009F13B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9F13B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14:paraId="633B024B" w14:textId="043E382E" w:rsidR="009F13BC" w:rsidRPr="009F13BC" w:rsidRDefault="009F13BC" w:rsidP="009F13B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9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регионального государственного экологического контроля (надзора) на</w:t>
      </w:r>
      <w:r w:rsidRPr="009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собственности, осуществляющих свою деятельность на территории </w:t>
      </w:r>
      <w:r w:rsid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Борский </w:t>
      </w:r>
      <w:r w:rsidRPr="009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F13B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14:paraId="69D3D3A1" w14:textId="2C6A8D38" w:rsidR="009F13BC" w:rsidRPr="009F13BC" w:rsidRDefault="009F13BC" w:rsidP="009F13B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9F13B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на 2022 год </w:t>
      </w:r>
    </w:p>
    <w:p w14:paraId="1DD3F718" w14:textId="7D454233" w:rsidR="00E82C94" w:rsidRPr="009F13BC" w:rsidRDefault="00E82C94" w:rsidP="00E82C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5D6684" w14:textId="2732C573"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828"/>
        <w:gridCol w:w="1842"/>
        <w:gridCol w:w="1418"/>
      </w:tblGrid>
      <w:tr w:rsidR="002406C2" w:rsidRPr="002406C2" w14:paraId="6F33747C" w14:textId="77777777" w:rsidTr="009F13BC">
        <w:tc>
          <w:tcPr>
            <w:tcW w:w="710" w:type="dxa"/>
          </w:tcPr>
          <w:p w14:paraId="750177A5" w14:textId="77777777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F380E55" w14:textId="112DFB5A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</w:tcPr>
          <w:p w14:paraId="780508B4" w14:textId="1934BAF2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</w:tcPr>
          <w:p w14:paraId="748A8CB8" w14:textId="0AF8709E" w:rsidR="00E82C94" w:rsidRPr="002406C2" w:rsidRDefault="00E82C94" w:rsidP="001054A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42" w:type="dxa"/>
          </w:tcPr>
          <w:p w14:paraId="024577BE" w14:textId="120B056C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14:paraId="3E0F621B" w14:textId="6ADFE75D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6350AB" w:rsidRPr="00F24165" w14:paraId="59FE1EA5" w14:textId="77777777" w:rsidTr="009F13BC">
        <w:tc>
          <w:tcPr>
            <w:tcW w:w="710" w:type="dxa"/>
          </w:tcPr>
          <w:p w14:paraId="24089F40" w14:textId="2620DBB2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14:paraId="526916BE" w14:textId="56E9B6F2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28" w:type="dxa"/>
          </w:tcPr>
          <w:p w14:paraId="6B1B09B1" w14:textId="41D2E9A5" w:rsidR="006350AB" w:rsidRPr="002406C2" w:rsidRDefault="001054A2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3BC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Должностное лицо</w:t>
            </w:r>
            <w:r w:rsidR="009F13BC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14:paraId="1322CD14" w14:textId="400EC1D5" w:rsidR="006350AB" w:rsidRPr="002406C2" w:rsidRDefault="001054A2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64E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Борский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 телекоммуникационной сети Интернет и в иных формах. </w:t>
            </w:r>
          </w:p>
          <w:p w14:paraId="5909FEE4" w14:textId="233F8891" w:rsidR="006350AB" w:rsidRPr="002406C2" w:rsidRDefault="001054A2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Должностное лицо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обязано размещать и поддерживать в актуальном состоянии на своем официальном сайте в сети «Интернет»: </w:t>
            </w:r>
          </w:p>
          <w:p w14:paraId="320B46CA" w14:textId="2C3E84C5" w:rsidR="006350AB" w:rsidRPr="002406C2" w:rsidRDefault="00300DF9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регионального государственного экологического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(надзора); </w:t>
            </w:r>
          </w:p>
          <w:p w14:paraId="0F892171" w14:textId="2380B5D4" w:rsidR="006350AB" w:rsidRPr="002406C2" w:rsidRDefault="00300DF9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руководства по соблюдению обязательных требований, разработанные и утвержденные в соответствии с Федерал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ьным законом от 31.07.2020 № 248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-ФЗ. </w:t>
            </w:r>
          </w:p>
          <w:p w14:paraId="5A8E67EB" w14:textId="4695B476" w:rsidR="006350AB" w:rsidRPr="002406C2" w:rsidRDefault="00300DF9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(надзорных) мероприятий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28A62BBD" w14:textId="0EE9DCCE" w:rsidR="006350AB" w:rsidRPr="002406C2" w:rsidRDefault="00300DF9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14:paraId="3F306913" w14:textId="0C74DF4E" w:rsidR="006350AB" w:rsidRPr="002406C2" w:rsidRDefault="00300DF9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доклады, содержащие результаты обобщен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 правоприменительной практики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79D22ACB" w14:textId="5EB5EEB0" w:rsidR="006350AB" w:rsidRPr="002406C2" w:rsidRDefault="00300DF9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правовыми актами субъекта Российской Федерации, муниципальными правовыми актами.</w:t>
            </w:r>
          </w:p>
        </w:tc>
        <w:tc>
          <w:tcPr>
            <w:tcW w:w="1842" w:type="dxa"/>
            <w:vMerge w:val="restart"/>
          </w:tcPr>
          <w:p w14:paraId="0EC0B811" w14:textId="535A425F" w:rsidR="00760543" w:rsidRPr="002406C2" w:rsidRDefault="009F13BC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Уполномоченное лицо</w:t>
            </w:r>
          </w:p>
        </w:tc>
        <w:tc>
          <w:tcPr>
            <w:tcW w:w="1418" w:type="dxa"/>
          </w:tcPr>
          <w:p w14:paraId="126223A5" w14:textId="5FE75F4F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350AB" w14:paraId="755A2044" w14:textId="77777777" w:rsidTr="009F13BC">
        <w:tc>
          <w:tcPr>
            <w:tcW w:w="710" w:type="dxa"/>
          </w:tcPr>
          <w:p w14:paraId="04EA9881" w14:textId="5599131B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14:paraId="4E0ECC1D" w14:textId="55555392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28" w:type="dxa"/>
          </w:tcPr>
          <w:p w14:paraId="0DFAEC8A" w14:textId="4E534203" w:rsidR="002406C2" w:rsidRDefault="001054A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регионального государственного экологического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готовится ежегодно до 1 марта года, следующего за отчетным, подлежит публичному обсуждению.</w:t>
            </w:r>
          </w:p>
          <w:p w14:paraId="36E94A4E" w14:textId="77EEB166" w:rsidR="006350AB" w:rsidRPr="002406C2" w:rsidRDefault="001054A2" w:rsidP="00154C54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 о правоприменительной практик ра</w:t>
            </w:r>
            <w:r w:rsidR="00764E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змещается на официальном сайте а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муниципального района 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842" w:type="dxa"/>
            <w:vMerge/>
          </w:tcPr>
          <w:p w14:paraId="2ED46A14" w14:textId="77777777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5F64FA4" w14:textId="4C12DB7F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350AB" w14:paraId="548DC5FE" w14:textId="77777777" w:rsidTr="009F13BC">
        <w:tc>
          <w:tcPr>
            <w:tcW w:w="710" w:type="dxa"/>
          </w:tcPr>
          <w:p w14:paraId="1D94BACE" w14:textId="48EF6558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14:paraId="687F04DB" w14:textId="1F87055B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28" w:type="dxa"/>
          </w:tcPr>
          <w:p w14:paraId="485B2910" w14:textId="1B372B5E" w:rsidR="006350AB" w:rsidRPr="002406C2" w:rsidRDefault="002406C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наличии у контрольного (надзорного) органа сведений о </w:t>
            </w:r>
          </w:p>
          <w:p w14:paraId="6C4326AC" w14:textId="77777777"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готовящихся или возможных нарушениях обязательных требований, а </w:t>
            </w:r>
          </w:p>
          <w:p w14:paraId="4AD3C035" w14:textId="116B5A17"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14:paraId="38818CE4" w14:textId="77777777"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(надзорный) орган объявляет контролируемому лицу </w:t>
            </w:r>
          </w:p>
          <w:p w14:paraId="75D4583E" w14:textId="77777777" w:rsid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лесного законодательства и предлагает принять меры по обеспечению соблюдения обязательных требований. 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3B559FFB" w14:textId="6C08EE0A" w:rsidR="006350AB" w:rsidRPr="002406C2" w:rsidRDefault="002406C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14:paraId="6DCF2C1A" w14:textId="78A4A9CD" w:rsidR="006350AB" w:rsidRPr="002406C2" w:rsidRDefault="006350AB" w:rsidP="008B4A83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Уполномоченным лицом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2" w:type="dxa"/>
            <w:vMerge/>
          </w:tcPr>
          <w:p w14:paraId="3FDBD549" w14:textId="77777777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F922476" w14:textId="24F1878F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350AB" w14:paraId="7CECA4C1" w14:textId="77777777" w:rsidTr="009F13BC">
        <w:tc>
          <w:tcPr>
            <w:tcW w:w="710" w:type="dxa"/>
          </w:tcPr>
          <w:p w14:paraId="5DF17651" w14:textId="76C068B4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14:paraId="11448C66" w14:textId="623ACADC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28" w:type="dxa"/>
          </w:tcPr>
          <w:p w14:paraId="3A8BF887" w14:textId="2EB86E08" w:rsidR="002406C2" w:rsidRDefault="002406C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ание осуществляется должностным лицом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телефону,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письменной форме,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личном приеме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либо в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ходе проведения профилактического мероприятия, контрольного (надзорного)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ероприятия.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консультирования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личном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обращении составляет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минут.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6710C3C" w14:textId="3D9BEB5C" w:rsidR="006350AB" w:rsidRPr="002406C2" w:rsidRDefault="002406C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следующим </w:t>
            </w:r>
          </w:p>
          <w:p w14:paraId="115BD4E2" w14:textId="77777777" w:rsidR="006350AB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9E48519" w14:textId="5ED2EC18" w:rsidR="00D457E5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государственного контроля (надзора);</w:t>
            </w:r>
          </w:p>
          <w:p w14:paraId="7C1ADC4C" w14:textId="77777777" w:rsidR="00D457E5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14:paraId="6D2A60EA" w14:textId="77777777" w:rsidR="008B4A83" w:rsidRDefault="00D457E5" w:rsidP="008B4A83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порядок обжалования решений органов государственного надзора, </w:t>
            </w:r>
            <w:r w:rsidR="0049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действий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бездействия) 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должностного лица</w:t>
            </w:r>
          </w:p>
          <w:p w14:paraId="1354E17D" w14:textId="19ED0C48" w:rsidR="00D457E5" w:rsidRPr="002406C2" w:rsidRDefault="004941DF" w:rsidP="00154C54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64E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Борский 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сети «Интернет» письменного разъяснения, подписанного уполно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моченным должностным лицом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/>
          </w:tcPr>
          <w:p w14:paraId="3A5B26A4" w14:textId="77777777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5E63E30" w14:textId="5760EA32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659AC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6350AB" w14:paraId="12C52BD1" w14:textId="77777777" w:rsidTr="009F13BC">
        <w:tc>
          <w:tcPr>
            <w:tcW w:w="710" w:type="dxa"/>
          </w:tcPr>
          <w:p w14:paraId="1D7980D8" w14:textId="0DD4D065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14:paraId="3D4B83C3" w14:textId="3AFF2D6E" w:rsidR="006350AB" w:rsidRPr="002406C2" w:rsidRDefault="000659AC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28" w:type="dxa"/>
          </w:tcPr>
          <w:p w14:paraId="58294F96" w14:textId="0E0216C7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объектах хозяйственной деятельности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DF10C6" w14:textId="01308280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подписью.</w:t>
            </w:r>
          </w:p>
          <w:p w14:paraId="5F934941" w14:textId="6C826B68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лицо,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306E2DD6" w14:textId="021DA479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лицом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 не может превышать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день.</w:t>
            </w:r>
          </w:p>
          <w:p w14:paraId="14F3D695" w14:textId="719E0DCF" w:rsidR="00932FC0" w:rsidRPr="00932FC0" w:rsidRDefault="004941DF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FC0"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      Профилактический визит проводится 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>Уполномоченным лицом</w:t>
            </w:r>
            <w:r w:rsidR="008B4A83"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FC0" w:rsidRPr="00932FC0">
              <w:rPr>
                <w:rFonts w:ascii="Times New Roman" w:hAnsi="Times New Roman" w:cs="Times New Roman"/>
                <w:sz w:val="20"/>
                <w:szCs w:val="20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697BBF89" w14:textId="3FC07BF6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</w:t>
            </w:r>
            <w:bookmarkStart w:id="1" w:name="_GoBack"/>
            <w:bookmarkEnd w:id="1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проводимых в отношении контролируемого лица, исходя из отнесения к категории риска.</w:t>
            </w:r>
          </w:p>
          <w:p w14:paraId="6BE1969A" w14:textId="7F51F8FD" w:rsidR="006350AB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профилактического визита 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>Уполномоченным лицом</w:t>
            </w:r>
            <w:r w:rsidR="008B4A83"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может осуществляться консультирование контролируемого лица в порядке, установленном пунктом 30 настоящего Положения, а также статьей 50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Федерального закона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 xml:space="preserve"> № 248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509457" w14:textId="5E366A70" w:rsidR="00932FC0" w:rsidRPr="002406C2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  <w:vMerge/>
          </w:tcPr>
          <w:p w14:paraId="0357BE74" w14:textId="77777777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320A62" w14:textId="0C757EAB" w:rsidR="006350AB" w:rsidRPr="002406C2" w:rsidRDefault="008B4A83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14:paraId="61CD8B0B" w14:textId="77777777" w:rsidR="00E82C94" w:rsidRP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82C94" w:rsidRPr="00E82C94" w:rsidSect="00BE3E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83E9" w14:textId="77777777" w:rsidR="00295C0A" w:rsidRDefault="00295C0A" w:rsidP="00142783">
      <w:pPr>
        <w:spacing w:after="0" w:line="240" w:lineRule="auto"/>
      </w:pPr>
      <w:r>
        <w:separator/>
      </w:r>
    </w:p>
  </w:endnote>
  <w:endnote w:type="continuationSeparator" w:id="0">
    <w:p w14:paraId="04966B6F" w14:textId="77777777" w:rsidR="00295C0A" w:rsidRDefault="00295C0A" w:rsidP="0014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9687" w14:textId="77777777" w:rsidR="00295C0A" w:rsidRDefault="00295C0A" w:rsidP="00142783">
      <w:pPr>
        <w:spacing w:after="0" w:line="240" w:lineRule="auto"/>
      </w:pPr>
      <w:r>
        <w:separator/>
      </w:r>
    </w:p>
  </w:footnote>
  <w:footnote w:type="continuationSeparator" w:id="0">
    <w:p w14:paraId="7E2967DE" w14:textId="77777777" w:rsidR="00295C0A" w:rsidRDefault="00295C0A" w:rsidP="0014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3043"/>
    <w:multiLevelType w:val="multilevel"/>
    <w:tmpl w:val="72E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B21D4"/>
    <w:multiLevelType w:val="multilevel"/>
    <w:tmpl w:val="CEB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93F9D"/>
    <w:multiLevelType w:val="multilevel"/>
    <w:tmpl w:val="74A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34D58"/>
    <w:multiLevelType w:val="multilevel"/>
    <w:tmpl w:val="E15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B"/>
    <w:rsid w:val="000202BE"/>
    <w:rsid w:val="00031E25"/>
    <w:rsid w:val="000326BF"/>
    <w:rsid w:val="000659AC"/>
    <w:rsid w:val="000B12DD"/>
    <w:rsid w:val="000C176A"/>
    <w:rsid w:val="000C6453"/>
    <w:rsid w:val="000F2A5E"/>
    <w:rsid w:val="000F5A90"/>
    <w:rsid w:val="00104BE5"/>
    <w:rsid w:val="001054A2"/>
    <w:rsid w:val="00105571"/>
    <w:rsid w:val="001209DD"/>
    <w:rsid w:val="001268B0"/>
    <w:rsid w:val="001401DE"/>
    <w:rsid w:val="00140889"/>
    <w:rsid w:val="00142783"/>
    <w:rsid w:val="00154C54"/>
    <w:rsid w:val="001561B1"/>
    <w:rsid w:val="00156C51"/>
    <w:rsid w:val="00162CB2"/>
    <w:rsid w:val="00166E63"/>
    <w:rsid w:val="001A7F24"/>
    <w:rsid w:val="001B2594"/>
    <w:rsid w:val="001B59F6"/>
    <w:rsid w:val="001C0592"/>
    <w:rsid w:val="001C64B3"/>
    <w:rsid w:val="001C6BCB"/>
    <w:rsid w:val="001D22EF"/>
    <w:rsid w:val="001D2C32"/>
    <w:rsid w:val="001F3057"/>
    <w:rsid w:val="001F7846"/>
    <w:rsid w:val="00202C24"/>
    <w:rsid w:val="0020423F"/>
    <w:rsid w:val="00205601"/>
    <w:rsid w:val="00212C57"/>
    <w:rsid w:val="002259E4"/>
    <w:rsid w:val="0023115A"/>
    <w:rsid w:val="002343C5"/>
    <w:rsid w:val="002406C2"/>
    <w:rsid w:val="0026346A"/>
    <w:rsid w:val="002727E8"/>
    <w:rsid w:val="00277F51"/>
    <w:rsid w:val="00284DD0"/>
    <w:rsid w:val="00291727"/>
    <w:rsid w:val="0029177C"/>
    <w:rsid w:val="00292F1B"/>
    <w:rsid w:val="00295C0A"/>
    <w:rsid w:val="00296176"/>
    <w:rsid w:val="002B32CC"/>
    <w:rsid w:val="002B742E"/>
    <w:rsid w:val="002C5FED"/>
    <w:rsid w:val="002D14AF"/>
    <w:rsid w:val="00300DF9"/>
    <w:rsid w:val="00304CE5"/>
    <w:rsid w:val="00313934"/>
    <w:rsid w:val="00314EEB"/>
    <w:rsid w:val="003155E7"/>
    <w:rsid w:val="00330C41"/>
    <w:rsid w:val="00335FFA"/>
    <w:rsid w:val="003579CE"/>
    <w:rsid w:val="003761BF"/>
    <w:rsid w:val="0037689E"/>
    <w:rsid w:val="00377D8D"/>
    <w:rsid w:val="003801E9"/>
    <w:rsid w:val="00380B1D"/>
    <w:rsid w:val="00380F2F"/>
    <w:rsid w:val="00391D63"/>
    <w:rsid w:val="003948FA"/>
    <w:rsid w:val="0039662B"/>
    <w:rsid w:val="003A1DC7"/>
    <w:rsid w:val="003A2082"/>
    <w:rsid w:val="003B296A"/>
    <w:rsid w:val="003B6B01"/>
    <w:rsid w:val="003D5FE6"/>
    <w:rsid w:val="003D6D13"/>
    <w:rsid w:val="003E073E"/>
    <w:rsid w:val="003F12A2"/>
    <w:rsid w:val="003F5B41"/>
    <w:rsid w:val="003F6AEF"/>
    <w:rsid w:val="003F7147"/>
    <w:rsid w:val="00410073"/>
    <w:rsid w:val="00417AA3"/>
    <w:rsid w:val="0042089A"/>
    <w:rsid w:val="004244F1"/>
    <w:rsid w:val="0043709B"/>
    <w:rsid w:val="0044766C"/>
    <w:rsid w:val="0047093E"/>
    <w:rsid w:val="004941DF"/>
    <w:rsid w:val="004A18F7"/>
    <w:rsid w:val="004B0714"/>
    <w:rsid w:val="004B40AD"/>
    <w:rsid w:val="004B5716"/>
    <w:rsid w:val="004C2E69"/>
    <w:rsid w:val="004C48B7"/>
    <w:rsid w:val="004C7B53"/>
    <w:rsid w:val="004C7DB5"/>
    <w:rsid w:val="004F7054"/>
    <w:rsid w:val="0050177F"/>
    <w:rsid w:val="00503C74"/>
    <w:rsid w:val="005063E4"/>
    <w:rsid w:val="00507E9E"/>
    <w:rsid w:val="005124BD"/>
    <w:rsid w:val="005144DE"/>
    <w:rsid w:val="00520288"/>
    <w:rsid w:val="00521590"/>
    <w:rsid w:val="005278E8"/>
    <w:rsid w:val="00544158"/>
    <w:rsid w:val="00545E61"/>
    <w:rsid w:val="00546840"/>
    <w:rsid w:val="005513E6"/>
    <w:rsid w:val="00560907"/>
    <w:rsid w:val="00574E34"/>
    <w:rsid w:val="005808A4"/>
    <w:rsid w:val="0058242A"/>
    <w:rsid w:val="00592A5E"/>
    <w:rsid w:val="005A3D8C"/>
    <w:rsid w:val="005A79BE"/>
    <w:rsid w:val="005A7CD7"/>
    <w:rsid w:val="005B6CDB"/>
    <w:rsid w:val="005C0581"/>
    <w:rsid w:val="005C1CCA"/>
    <w:rsid w:val="005C7BE9"/>
    <w:rsid w:val="005D2AD5"/>
    <w:rsid w:val="005E1F6A"/>
    <w:rsid w:val="005E56FE"/>
    <w:rsid w:val="005E61E6"/>
    <w:rsid w:val="005E7D17"/>
    <w:rsid w:val="005F0A09"/>
    <w:rsid w:val="005F2705"/>
    <w:rsid w:val="00611C63"/>
    <w:rsid w:val="006121A2"/>
    <w:rsid w:val="006136A5"/>
    <w:rsid w:val="00620332"/>
    <w:rsid w:val="0063357F"/>
    <w:rsid w:val="006350AB"/>
    <w:rsid w:val="00640F20"/>
    <w:rsid w:val="00655FBC"/>
    <w:rsid w:val="006633E7"/>
    <w:rsid w:val="00672A7A"/>
    <w:rsid w:val="00673A8C"/>
    <w:rsid w:val="006741E8"/>
    <w:rsid w:val="00682BF5"/>
    <w:rsid w:val="00692140"/>
    <w:rsid w:val="006B1461"/>
    <w:rsid w:val="006B49CD"/>
    <w:rsid w:val="006B75C6"/>
    <w:rsid w:val="006E2C86"/>
    <w:rsid w:val="006E3F3A"/>
    <w:rsid w:val="006E4AE4"/>
    <w:rsid w:val="006E762E"/>
    <w:rsid w:val="00700F89"/>
    <w:rsid w:val="0071584A"/>
    <w:rsid w:val="0071680C"/>
    <w:rsid w:val="00726498"/>
    <w:rsid w:val="00735A8A"/>
    <w:rsid w:val="007458F0"/>
    <w:rsid w:val="00750B12"/>
    <w:rsid w:val="00751964"/>
    <w:rsid w:val="00752D87"/>
    <w:rsid w:val="00760543"/>
    <w:rsid w:val="00764EB6"/>
    <w:rsid w:val="0077431E"/>
    <w:rsid w:val="0077555D"/>
    <w:rsid w:val="007864FD"/>
    <w:rsid w:val="0079193A"/>
    <w:rsid w:val="00796E33"/>
    <w:rsid w:val="007A62C0"/>
    <w:rsid w:val="007D0872"/>
    <w:rsid w:val="007D09E7"/>
    <w:rsid w:val="007D6725"/>
    <w:rsid w:val="007E4D83"/>
    <w:rsid w:val="00800F50"/>
    <w:rsid w:val="00813860"/>
    <w:rsid w:val="00817C59"/>
    <w:rsid w:val="0082727D"/>
    <w:rsid w:val="00836FD4"/>
    <w:rsid w:val="00841E8C"/>
    <w:rsid w:val="0085460E"/>
    <w:rsid w:val="0086101B"/>
    <w:rsid w:val="0086757F"/>
    <w:rsid w:val="00872C30"/>
    <w:rsid w:val="008A440B"/>
    <w:rsid w:val="008B1C8A"/>
    <w:rsid w:val="008B4A83"/>
    <w:rsid w:val="008B6FC1"/>
    <w:rsid w:val="008C2D80"/>
    <w:rsid w:val="008C7076"/>
    <w:rsid w:val="008D038B"/>
    <w:rsid w:val="008D0942"/>
    <w:rsid w:val="008D6C7D"/>
    <w:rsid w:val="008E2A8A"/>
    <w:rsid w:val="008E4B48"/>
    <w:rsid w:val="008E7ABA"/>
    <w:rsid w:val="008F0FF7"/>
    <w:rsid w:val="00907046"/>
    <w:rsid w:val="009109FB"/>
    <w:rsid w:val="009215E7"/>
    <w:rsid w:val="009302A9"/>
    <w:rsid w:val="00930A49"/>
    <w:rsid w:val="00932FC0"/>
    <w:rsid w:val="00937BC5"/>
    <w:rsid w:val="00940DCF"/>
    <w:rsid w:val="00942B28"/>
    <w:rsid w:val="00943396"/>
    <w:rsid w:val="00945A7E"/>
    <w:rsid w:val="00950E0B"/>
    <w:rsid w:val="0095322D"/>
    <w:rsid w:val="009538B5"/>
    <w:rsid w:val="009564D1"/>
    <w:rsid w:val="00976D65"/>
    <w:rsid w:val="009774BA"/>
    <w:rsid w:val="00990757"/>
    <w:rsid w:val="009952AC"/>
    <w:rsid w:val="009A1A33"/>
    <w:rsid w:val="009A1F28"/>
    <w:rsid w:val="009A2851"/>
    <w:rsid w:val="009B5898"/>
    <w:rsid w:val="009C49AC"/>
    <w:rsid w:val="009D2BDD"/>
    <w:rsid w:val="009F13BC"/>
    <w:rsid w:val="009F17D5"/>
    <w:rsid w:val="009F335D"/>
    <w:rsid w:val="00A301ED"/>
    <w:rsid w:val="00A375F5"/>
    <w:rsid w:val="00A4662F"/>
    <w:rsid w:val="00A749F1"/>
    <w:rsid w:val="00A76BA2"/>
    <w:rsid w:val="00A76EB3"/>
    <w:rsid w:val="00AA1D19"/>
    <w:rsid w:val="00AB3BA1"/>
    <w:rsid w:val="00AC52F6"/>
    <w:rsid w:val="00AD2541"/>
    <w:rsid w:val="00AD5A9A"/>
    <w:rsid w:val="00AF1F78"/>
    <w:rsid w:val="00B014BB"/>
    <w:rsid w:val="00B02AEE"/>
    <w:rsid w:val="00B16982"/>
    <w:rsid w:val="00B20636"/>
    <w:rsid w:val="00B302F4"/>
    <w:rsid w:val="00B3089D"/>
    <w:rsid w:val="00B376CF"/>
    <w:rsid w:val="00B47D1B"/>
    <w:rsid w:val="00B566ED"/>
    <w:rsid w:val="00B62AE4"/>
    <w:rsid w:val="00B630B7"/>
    <w:rsid w:val="00BC2CDB"/>
    <w:rsid w:val="00BD0258"/>
    <w:rsid w:val="00BE3E5E"/>
    <w:rsid w:val="00BF3F5B"/>
    <w:rsid w:val="00C0064A"/>
    <w:rsid w:val="00C03C8A"/>
    <w:rsid w:val="00C05CAD"/>
    <w:rsid w:val="00C10132"/>
    <w:rsid w:val="00C10ADE"/>
    <w:rsid w:val="00C15D39"/>
    <w:rsid w:val="00C174D7"/>
    <w:rsid w:val="00C26B6F"/>
    <w:rsid w:val="00C32376"/>
    <w:rsid w:val="00C33DD5"/>
    <w:rsid w:val="00C440B8"/>
    <w:rsid w:val="00C518C3"/>
    <w:rsid w:val="00C62C24"/>
    <w:rsid w:val="00C75A5D"/>
    <w:rsid w:val="00C85544"/>
    <w:rsid w:val="00C9177C"/>
    <w:rsid w:val="00C96CC2"/>
    <w:rsid w:val="00CA2BB0"/>
    <w:rsid w:val="00CB3283"/>
    <w:rsid w:val="00CB66E7"/>
    <w:rsid w:val="00CF44A5"/>
    <w:rsid w:val="00CF5A84"/>
    <w:rsid w:val="00CF7E8E"/>
    <w:rsid w:val="00D02E20"/>
    <w:rsid w:val="00D14FF1"/>
    <w:rsid w:val="00D33441"/>
    <w:rsid w:val="00D4025C"/>
    <w:rsid w:val="00D457E5"/>
    <w:rsid w:val="00D62C44"/>
    <w:rsid w:val="00D6383D"/>
    <w:rsid w:val="00D63CDA"/>
    <w:rsid w:val="00D67491"/>
    <w:rsid w:val="00D7202D"/>
    <w:rsid w:val="00D74BA6"/>
    <w:rsid w:val="00D75BBC"/>
    <w:rsid w:val="00D8341A"/>
    <w:rsid w:val="00D83899"/>
    <w:rsid w:val="00D839E9"/>
    <w:rsid w:val="00D83FA8"/>
    <w:rsid w:val="00D922B5"/>
    <w:rsid w:val="00DA0C36"/>
    <w:rsid w:val="00DA4822"/>
    <w:rsid w:val="00DA5F41"/>
    <w:rsid w:val="00DE0850"/>
    <w:rsid w:val="00DE2A9B"/>
    <w:rsid w:val="00DF5688"/>
    <w:rsid w:val="00DF5BC3"/>
    <w:rsid w:val="00E270AE"/>
    <w:rsid w:val="00E27636"/>
    <w:rsid w:val="00E30255"/>
    <w:rsid w:val="00E32558"/>
    <w:rsid w:val="00E45210"/>
    <w:rsid w:val="00E6521D"/>
    <w:rsid w:val="00E82C94"/>
    <w:rsid w:val="00E91486"/>
    <w:rsid w:val="00E916C4"/>
    <w:rsid w:val="00E93015"/>
    <w:rsid w:val="00E95302"/>
    <w:rsid w:val="00EB0009"/>
    <w:rsid w:val="00EC13AA"/>
    <w:rsid w:val="00EE03A3"/>
    <w:rsid w:val="00EE690B"/>
    <w:rsid w:val="00EF092D"/>
    <w:rsid w:val="00EF4219"/>
    <w:rsid w:val="00EF4F64"/>
    <w:rsid w:val="00F03629"/>
    <w:rsid w:val="00F03F19"/>
    <w:rsid w:val="00F064B4"/>
    <w:rsid w:val="00F10C92"/>
    <w:rsid w:val="00F209F5"/>
    <w:rsid w:val="00F24165"/>
    <w:rsid w:val="00F31C3D"/>
    <w:rsid w:val="00F33A3D"/>
    <w:rsid w:val="00F418F1"/>
    <w:rsid w:val="00F5182F"/>
    <w:rsid w:val="00F61B5A"/>
    <w:rsid w:val="00F76C6C"/>
    <w:rsid w:val="00FA3AD4"/>
    <w:rsid w:val="00FB0CC6"/>
    <w:rsid w:val="00FC3BF3"/>
    <w:rsid w:val="00FC7C8F"/>
    <w:rsid w:val="00FD1C32"/>
    <w:rsid w:val="00FD6DCC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CE98"/>
  <w15:docId w15:val="{BC015FA8-5D7D-403D-B384-57AFDEA9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E7"/>
  </w:style>
  <w:style w:type="paragraph" w:styleId="1">
    <w:name w:val="heading 1"/>
    <w:basedOn w:val="a"/>
    <w:next w:val="a"/>
    <w:link w:val="10"/>
    <w:uiPriority w:val="9"/>
    <w:qFormat/>
    <w:rsid w:val="005B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6C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783"/>
  </w:style>
  <w:style w:type="paragraph" w:styleId="a9">
    <w:name w:val="footer"/>
    <w:basedOn w:val="a"/>
    <w:link w:val="aa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783"/>
  </w:style>
  <w:style w:type="table" w:styleId="ab">
    <w:name w:val="Table Grid"/>
    <w:basedOn w:val="a1"/>
    <w:uiPriority w:val="59"/>
    <w:rsid w:val="0014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03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B66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377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9633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2628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7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30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3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80054">
                              <w:marLeft w:val="0"/>
                              <w:marRight w:val="0"/>
                              <w:marTop w:val="11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841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6B59-B32A-494D-8A31-C1525D04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2021-09-23T05:28:00Z</cp:lastPrinted>
  <dcterms:created xsi:type="dcterms:W3CDTF">2021-10-21T06:18:00Z</dcterms:created>
  <dcterms:modified xsi:type="dcterms:W3CDTF">2022-07-26T09:23:00Z</dcterms:modified>
</cp:coreProperties>
</file>